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0E2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купли-продажи (поставки) электрической энергии 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Условия договора купли-продажи электроэнергии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ru-RU"/>
              </w:rPr>
              <w:t xml:space="preserve">Условия договора купли-продажи (поставки) электрической энергии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 неопределенный срок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7078F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7078F1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- </w:t>
            </w: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E23B7"/>
    <w:rsid w:val="006E6566"/>
    <w:rsid w:val="007078F1"/>
    <w:rsid w:val="007F1098"/>
    <w:rsid w:val="00DC148B"/>
    <w:rsid w:val="00DE7D5A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3</cp:revision>
  <dcterms:created xsi:type="dcterms:W3CDTF">2019-07-12T02:19:00Z</dcterms:created>
  <dcterms:modified xsi:type="dcterms:W3CDTF">2019-07-12T02:39:00Z</dcterms:modified>
</cp:coreProperties>
</file>