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CA" w:rsidRDefault="001228CA" w:rsidP="001228C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приборам учета электрической энергии и иному оборудованию, используемому для коммерческого учета электрической энергии (мощности) и обеспечивающему возможность присоединения приборов учета электрической энергии к интеллектуальной системе учета электрической энергии (мощности) АО «Читаэнергосбыт» и её надлежащее функционирование</w:t>
      </w: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1228CA" w:rsidRDefault="001228CA" w:rsidP="001228CA">
      <w:pPr>
        <w:pStyle w:val="ab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Настоящие Технические требования определяют технические, метрологические и иные параметры приборов учета электрической энергии и иного оборудования для оптимизации процесса их присоединения к интеллектуальной системе учета электрической энергии (мощности) АО «Читаэнергосбыт» (далее ИСУ АО «Читаэнергосбыт») и надлежащего функционирования ИСУ АО «Читаэнергосбыт».</w:t>
      </w:r>
    </w:p>
    <w:p w:rsidR="001228CA" w:rsidRDefault="001228CA" w:rsidP="001228CA">
      <w:pPr>
        <w:pStyle w:val="ab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Технические требования разработаны на основании требований следующих документов: </w:t>
      </w:r>
    </w:p>
    <w:p w:rsidR="001228CA" w:rsidRDefault="001228CA" w:rsidP="001228CA">
      <w:pPr>
        <w:pStyle w:val="ab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Основные положения функционирования розничных рынков электрической энергии (утв. постановлением Правительства РФ № 442 от 04.05.2012) (далее – ОПФРР),</w:t>
      </w:r>
    </w:p>
    <w:p w:rsidR="001228CA" w:rsidRDefault="001228CA" w:rsidP="001228CA">
      <w:pPr>
        <w:pStyle w:val="ab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Правила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№ 354),</w:t>
      </w:r>
    </w:p>
    <w:p w:rsidR="001228CA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Правила предоставления доступа к минимальному набору функций интеллектуальных систем учета электрической энергии (мощности) (утв. постановлением Правительства Российской Федерации от 19 июня 2020 г. № 890) (далее – Правила-890),</w:t>
      </w:r>
    </w:p>
    <w:p w:rsidR="001228CA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ГОСТ 7746-2015 «Трансформаторы тока. Общие технические условия», </w:t>
      </w:r>
    </w:p>
    <w:p w:rsidR="001228CA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Правила устройства электроустановок, 6-е издание (Главы 1.5 и 3.4) (далее – ПУЭ-6), </w:t>
      </w:r>
    </w:p>
    <w:p w:rsidR="001228CA" w:rsidRPr="00C85608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>Федеральный закон от 26 июля 2017 г. № 187-ФЗ «О безопасности критической информационной инфраструктуры Российской Федерации»</w:t>
      </w:r>
      <w:r w:rsidR="004D2E3A" w:rsidRPr="00C85608">
        <w:rPr>
          <w:rFonts w:ascii="Times New Roman" w:hAnsi="Times New Roman"/>
          <w:bCs/>
          <w:sz w:val="26"/>
          <w:szCs w:val="26"/>
        </w:rPr>
        <w:t xml:space="preserve"> (далее – Закон о безопасности КИИ)</w:t>
      </w:r>
      <w:r w:rsidRPr="00C85608">
        <w:rPr>
          <w:rFonts w:ascii="Times New Roman" w:hAnsi="Times New Roman"/>
          <w:bCs/>
          <w:sz w:val="26"/>
          <w:szCs w:val="26"/>
        </w:rPr>
        <w:t>,</w:t>
      </w:r>
    </w:p>
    <w:p w:rsidR="001228CA" w:rsidRPr="00C85608" w:rsidRDefault="001228C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 xml:space="preserve">Базовая модель угроз безопасности информации интеллектуальной системы учета электрической энергии (далее – Базовая модель угроз), </w:t>
      </w:r>
    </w:p>
    <w:p w:rsidR="004D2E3A" w:rsidRPr="00C85608" w:rsidRDefault="004D2E3A" w:rsidP="004D2E3A">
      <w:pPr>
        <w:pStyle w:val="ab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>Федеральный закон от 26 июня 2008 г. № 102-ФЗ «Об обеспечении единства измерений» (далее – Закон об обеспечении единства измерений).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Пунктом 150 ОПФРР определено, что многоквартирные дома, разрешение на строительство которых выдано после 01 января 2021 года, должны быть по окончании строительства оснащены застройщиком индивидуальными (для коммунальной квартиры </w:t>
      </w:r>
      <w:r>
        <w:rPr>
          <w:rFonts w:ascii="Times New Roman" w:hAnsi="Times New Roman"/>
          <w:bCs/>
          <w:sz w:val="26"/>
          <w:szCs w:val="26"/>
        </w:rPr>
        <w:lastRenderedPageBreak/>
        <w:t>– общими (квартирными) приборами учета электрической энергии в жилых и нежилых помещениях многоквартирного дома, электроснабжение которых осуществляется с использованием общего имущества, коллективными (общедомовыми) приборами учета и иным оборудованием, используется для коммерческого учета электрической энергии (мощности) и обеспечивает возможность его присоединения к интеллектуальным системам учета электрической энергии (мощности) гарантирующего поставщика в соответствии с требованиями, установленными Правилами - 890.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 1 января 2021 года индивидуальные, общие (квартирные) и коллективные (общедомовые) приборы учета электрической энергии (измерительные трансформаторы) должны быть допущены к эксплуатации гарантирующим поставщиком, а также такие приборы учета должны быть переданы застройщиком в эксплуатацию гарантирующему поставщику, в зоне деятельности которого расположен многоквартирный дом, до введения такого многоквартирного дома в эксплуатацию в порядке, установленном пунктами 197.2 – 197.11 ОПФРР.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Допуск к эксплуатации индивидуальных, общих (квартирных) приборов учета электрической энергии, установленных застройщиком в многоквартирном доме, вводимом в эксплуатацию после осуществления строительства с 1 января 2021 г., осуществляется гарантирующим поставщиком с учетом положений, предусмотренных пунктами 197.4 – 197.7 ОПФРР (п. 153 ОПФРР).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Гарантирующие поставщики с 01 июля 2020 года обязаны осуществлять эксплуатацию не принадлежащих гарантирующему поставщику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в отношении многоквартирных домов и помещений в многоквартирных домах, расположенных в их зоне деятельности, электроснабжение которых осуществляется с использованием общего </w:t>
      </w:r>
      <w:r w:rsidRPr="00C85608">
        <w:rPr>
          <w:rFonts w:ascii="Times New Roman" w:hAnsi="Times New Roman"/>
          <w:bCs/>
          <w:sz w:val="26"/>
          <w:szCs w:val="26"/>
        </w:rPr>
        <w:t xml:space="preserve">имущества </w:t>
      </w:r>
      <w:r w:rsidR="004D2E3A" w:rsidRPr="00C85608">
        <w:rPr>
          <w:rFonts w:ascii="Times New Roman" w:hAnsi="Times New Roman"/>
          <w:bCs/>
          <w:sz w:val="26"/>
          <w:szCs w:val="26"/>
        </w:rPr>
        <w:t>в случаях, предусмотренных п</w:t>
      </w:r>
      <w:r w:rsidRPr="00C85608">
        <w:rPr>
          <w:rFonts w:ascii="Times New Roman" w:hAnsi="Times New Roman"/>
          <w:bCs/>
          <w:sz w:val="26"/>
          <w:szCs w:val="26"/>
        </w:rPr>
        <w:t>. 136</w:t>
      </w:r>
      <w:r>
        <w:rPr>
          <w:rFonts w:ascii="Times New Roman" w:hAnsi="Times New Roman"/>
          <w:bCs/>
          <w:sz w:val="26"/>
          <w:szCs w:val="26"/>
        </w:rPr>
        <w:t xml:space="preserve"> ОПФРР.</w:t>
      </w:r>
    </w:p>
    <w:p w:rsidR="001228CA" w:rsidRDefault="001228CA" w:rsidP="001228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приборам учета электрической энергии</w:t>
      </w:r>
    </w:p>
    <w:p w:rsidR="001228CA" w:rsidRDefault="001228CA" w:rsidP="001228CA">
      <w:pPr>
        <w:pStyle w:val="ab"/>
        <w:numPr>
          <w:ilvl w:val="1"/>
          <w:numId w:val="9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Для присоединения к ИСУ АО «Читаэнергосбыт», приборы учета электрической энергии (далее – ПУ), в соответствии с требованиями статьи 9 </w:t>
      </w:r>
      <w:r w:rsidR="004D2E3A">
        <w:rPr>
          <w:rFonts w:ascii="Times New Roman" w:hAnsi="Times New Roman"/>
          <w:bCs/>
          <w:sz w:val="26"/>
          <w:szCs w:val="26"/>
        </w:rPr>
        <w:t>Закона о</w:t>
      </w:r>
      <w:r>
        <w:rPr>
          <w:rFonts w:ascii="Times New Roman" w:hAnsi="Times New Roman"/>
          <w:bCs/>
          <w:sz w:val="26"/>
          <w:szCs w:val="26"/>
        </w:rPr>
        <w:t>б</w:t>
      </w:r>
      <w:r w:rsidR="004D2E3A">
        <w:rPr>
          <w:rFonts w:ascii="Times New Roman" w:hAnsi="Times New Roman"/>
          <w:bCs/>
          <w:sz w:val="26"/>
          <w:szCs w:val="26"/>
        </w:rPr>
        <w:t xml:space="preserve"> обеспечении единства измерений</w:t>
      </w:r>
      <w:r>
        <w:rPr>
          <w:rFonts w:ascii="Times New Roman" w:hAnsi="Times New Roman"/>
          <w:bCs/>
          <w:sz w:val="26"/>
          <w:szCs w:val="26"/>
        </w:rPr>
        <w:t xml:space="preserve">, должны пройти метрологическую поверку в соответствии с положениями </w:t>
      </w:r>
      <w:r w:rsidR="004D2E3A">
        <w:rPr>
          <w:rFonts w:ascii="Times New Roman" w:hAnsi="Times New Roman"/>
          <w:bCs/>
          <w:sz w:val="26"/>
          <w:szCs w:val="26"/>
        </w:rPr>
        <w:t>указанного закона</w:t>
      </w:r>
      <w:r>
        <w:rPr>
          <w:rFonts w:ascii="Times New Roman" w:hAnsi="Times New Roman"/>
          <w:bCs/>
          <w:sz w:val="26"/>
          <w:szCs w:val="26"/>
        </w:rPr>
        <w:t xml:space="preserve">, а также обеспечивать обязательные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метрологические требования к измерениям, а также требования к программному обеспечению и условиям эксплуатации ПУ. 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Конструкция ПУ должна обеспечивать ограничение доступа к определенным частям ПУ (включая программное обеспечение) в целях предотвращения несанкционированных настройки и вмешательства, которые могут привести к искажениям результатов измерений. ПУ должны иметь заводские, серийные номера или другие буквенно-цифровые обозначения, однозначно идентифицирующие каждый экземпляр средства измерений. Место,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ПУ должен обеспечивать в точке учета измерение активной и реактивной энергии в сетях переменного тока в двух направлениях.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Для ПУ прямого (непосредственного) включения класс точности должен быть 1,0 и выше по активной энергии и 2,0 по реактивной энергии.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ПУ подключенного через измерительные трансформаторы тока и класс точности должен быть 0,5S и выше по активной энергии и 1,0 по реактивной энергии. 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Перечень функций ПУ, которые могут быть присоединены к ИСУ АО «Читаэнергосбыт» и иные требования к ПУ изложены в пунктах 28, 29 Правил - 890.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Приборы учета электрической энергии, а также устройства для сбора и передачи данных (УСПД), а также базовые станции должны быть интегрированы в программный комплекс «Энфорс» (</w:t>
      </w:r>
      <w:hyperlink r:id="rId6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>).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местам установки приборов учета электрической энергии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Счетчики должны размещаться в легко доступных для обслуживания сухих помещениях, в достаточно свободном и не стесненном для работы месте с температурой в зимнее время не ниже 0°С. Счетчики общепромышленного исполнения не разрешается устанавливать в помещениях, где по производственным условиям температура может часто превышать +40°С, а также в помещениях с агрессивными средами. Допускается размещение счетчиков в неотапливаемых помещениях и коридорах распределительных устройств электростанций и подстанций, а также в шкафах наружной установки. При этом должно быть предусмотрено стационарное их утепление на зимнее время посредством утепляющих шкафов, колпаков с подогревом воздуха внутри них </w:t>
      </w:r>
      <w:r>
        <w:rPr>
          <w:rFonts w:ascii="Times New Roman" w:hAnsi="Times New Roman"/>
          <w:bCs/>
          <w:sz w:val="26"/>
          <w:szCs w:val="26"/>
        </w:rPr>
        <w:lastRenderedPageBreak/>
        <w:t>электрической лампой или нагревательным элементом для обеспечения внутри колпака положительной температуры, но не выше +20°С. (п. 1.5.27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Высота от пола до коробки зажимов счетчиков должна быть в пределах 0,8-1,7 м. Допускается высота менее 0,8 м, но не менее 0,4 м. (п. 1.5.29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 Аналогичные шкафы должны устанавливаться также для совместного размещения счетчиков и трансформаторов тока при выполнении учета на стороне низшего напряжения (на вводе у потребителей) (п. 1.5.30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Конструкции и размеры шкафов, ниш, щитков и т.п. должны обеспечивать удобный доступ к зажимам счетчиков и трансформаторов тока. Кроме того, должна быть обеспечена возможность удобной замены счетчика. Конструкция его крепления должна обеспечивать возможность установки и съема счетчика с лицевой стороны (п. 1.5.31 ПУЭ). 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В связи с тем, что обеспечение сохранности и целостности индивидуальных общих (квартирных), комнатных приборов учета электрической энергии и иного оборудования, входящего в состав ИСУ АО «Читаэнергосбыт», установленных в отношении жилых и нежилых помещений и находящихся на площадках лестничных клеток, в коридорах, вестибюлях, холлах возложено на гарантирующих поставщиков, АО «Читаэнергосбыт» при проектировании вправе устанавливать приборы учета электрической энергии и иное оборудование в местах общего пользования многоквартирных домов в специальных шкафах антивандального исполнения, обеспечивающих сохранность, целостность (п. 80.1 Правил-890), а также защиту от несанкционированного вмешательства в работу приборов учета электрической энергии и иного оборудования ИСУ АО «Читаэнергосбыт» (п. 81.11 Правил-890).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Замки всех шкафов и щитов учета, установленных в пределах одного многоквартирного дома должны открываться одним ключом. Застройщику необходимо обеспечить передачу ключей в АО «Читаэнергосбыт» для беспрепятственного доступа в </w:t>
      </w:r>
      <w:r>
        <w:rPr>
          <w:rFonts w:ascii="Times New Roman" w:hAnsi="Times New Roman"/>
          <w:bCs/>
          <w:sz w:val="26"/>
          <w:szCs w:val="26"/>
        </w:rPr>
        <w:lastRenderedPageBreak/>
        <w:t>шкафы и щиты учета для надлежащей эксплуатации установленных приборов учета электрической энергии и иного оборудования ИСУ АО «Читаэнергосбыт».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Технические требования к измерительным трансформаторам тока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Класс точности измерительных трансформаторов тока (далее – ТТ) должен быть не хуже 0,5</w:t>
      </w:r>
      <w:r>
        <w:rPr>
          <w:rFonts w:ascii="Times New Roman" w:hAnsi="Times New Roman"/>
          <w:bCs/>
          <w:sz w:val="26"/>
          <w:szCs w:val="26"/>
          <w:lang w:val="en-US"/>
        </w:rPr>
        <w:t>S</w:t>
      </w:r>
      <w:r>
        <w:rPr>
          <w:rFonts w:ascii="Times New Roman" w:hAnsi="Times New Roman"/>
          <w:bCs/>
          <w:sz w:val="26"/>
          <w:szCs w:val="26"/>
        </w:rPr>
        <w:t xml:space="preserve"> (таблица 5 ГОСТ 7746-2015).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Допускается применение ТТ с завышенным коэффициентом трансформации (по условиям электродинамической и термической стойкости или защиты шин), если при максимальной нагрузке присоединения ток во вторичной обмотке ТТ будет составлять не менее 40% номинального тока счетчика, а при минимальной рабочей нагрузке - не менее 5% (п. 1.5.17 ПУЭ).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Требования к измерительным (вторичным) цепям учета.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электропроводке к расчетным счетчикам наличие паек не допускается (п.1.5.33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Жилы контрольных кабелей для присоединения под винт к зажимам панелей и аппаратов должны иметь сечения для токовых цепей - 2,5 мм2 для меди и 4 мм2 для алюминия (п. 3.4.4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Присоединения токовых обмоток счётчиков к вторичным обмоткам трансформаторов тока следует проводить отдельно от цепей защиты и совместно с электроизмерительными приборами (п. 1.5.18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сохранности измерительных цепей должна быть предусмотрена возможность опломбировки промежуточных </w:t>
      </w:r>
      <w:proofErr w:type="spellStart"/>
      <w:r>
        <w:rPr>
          <w:rFonts w:ascii="Times New Roman" w:hAnsi="Times New Roman"/>
          <w:bCs/>
          <w:sz w:val="26"/>
          <w:szCs w:val="26"/>
        </w:rPr>
        <w:t>клеммников</w:t>
      </w:r>
      <w:proofErr w:type="spellEnd"/>
      <w:r>
        <w:rPr>
          <w:rFonts w:ascii="Times New Roman" w:hAnsi="Times New Roman"/>
          <w:bCs/>
          <w:sz w:val="26"/>
          <w:szCs w:val="26"/>
        </w:rPr>
        <w:t>, испытательных блоков, коробок и других приборов, включаемых в измерительные цепи ПУ, при этом необходимо минимизировать применение таких устройств.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Провода вторичных цепей напряжения следует подсоединять к шинам 0,4 кВ путем болтового соединения в непосредственной близости от ТТ измерительного комплекса отдельно от силовых цепей ТТ.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Нагрузка вторичных обмоток измерительных трансформаторов, к которым присоединяются счетчики, не должна превышать номинальных значений. Сечение и длина проводов и кабелей в цепях напряжения расчетных счетчиков должны выбираться такими, чтобы потери напряжения в этих цепях составляли не более 0,25% номинального напряжения. (п.1.5.19 ПУЭ).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Вторичные цепи следует выводить на самостоятельные сборки зажимов или секции в общем ряду зажимов. При отсутствии сборок с зажимами необходимо устанавливать испытательные блоки. Зажимы должны обеспечивать </w:t>
      </w:r>
      <w:proofErr w:type="spellStart"/>
      <w:r>
        <w:rPr>
          <w:rFonts w:ascii="Times New Roman" w:hAnsi="Times New Roman"/>
          <w:bCs/>
          <w:sz w:val="26"/>
          <w:szCs w:val="26"/>
        </w:rPr>
        <w:t>закорачивание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вторичных цепей трансформаторов тока, отключение токовых цепей счетчика и цепей напряжения в каждой фазе счетчиков при их замене или проверке, а также включение образцового счетчика без отсоединения проводов и кабелей. Конструкция сборок и коробок зажимов расчетных счетчиков должна обеспечивать возможность их пломбирования. (ПУЭ п.1.5.23).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 монтаже электропроводки необходимо избегать </w:t>
      </w:r>
      <w:proofErr w:type="spellStart"/>
      <w:r>
        <w:rPr>
          <w:rFonts w:ascii="Times New Roman" w:hAnsi="Times New Roman"/>
          <w:bCs/>
          <w:sz w:val="26"/>
          <w:szCs w:val="26"/>
        </w:rPr>
        <w:t>перекрещиваний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кабелей между собой, а также пересечений кабелей и проводов с трубопроводами и другими инженерными коммуникациями (пункт 6.3.1.10 Свода правил СП 76.13330.2016 «Электротехнические устройства»).</w:t>
      </w:r>
    </w:p>
    <w:p w:rsidR="001228CA" w:rsidRDefault="001228CA" w:rsidP="001228CA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Pr="00C85608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C85608">
        <w:rPr>
          <w:rFonts w:ascii="Times New Roman" w:hAnsi="Times New Roman"/>
          <w:b/>
          <w:bCs/>
          <w:sz w:val="26"/>
          <w:szCs w:val="26"/>
        </w:rPr>
        <w:t>Требования к шифрованию данных с использованием средств криптографической защиты информации</w:t>
      </w:r>
    </w:p>
    <w:p w:rsidR="001228CA" w:rsidRPr="00C85608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 xml:space="preserve">В трёхуровневых ИСУЭ при передаче данных в ИСУ АО «Читаэнергосбыт» от УСПД или контроллеров, установленных застройщиком в МКД, на уровне ИВКЭ должны предусматриваться компенсирующие меры, направленные на нейтрализацию угроз УБИ.069 и УБИ.083 (Базовой модели угроз) посредством шифрования данных с использованием средств криптографической защиты информации по </w:t>
      </w:r>
      <w:r w:rsidRPr="00C85608">
        <w:rPr>
          <w:rFonts w:ascii="Times New Roman" w:hAnsi="Times New Roman" w:cs="Times New Roman"/>
          <w:color w:val="0F1115"/>
          <w:sz w:val="26"/>
          <w:szCs w:val="26"/>
          <w:shd w:val="clear" w:color="auto" w:fill="FFFFFF"/>
        </w:rPr>
        <w:t>ГОСТ Р 34.12-2015</w:t>
      </w:r>
      <w:r w:rsidRPr="00C85608">
        <w:rPr>
          <w:rFonts w:ascii="Times New Roman" w:hAnsi="Times New Roman"/>
          <w:bCs/>
          <w:sz w:val="26"/>
          <w:szCs w:val="26"/>
        </w:rPr>
        <w:t xml:space="preserve"> (далее по тексту – СКЗИ), прошедшие процедуру оценки соответствия требованиям, предъявляемым федеральным органом исполнительной власти в области обеспечения безопасности.</w:t>
      </w:r>
    </w:p>
    <w:p w:rsidR="001228CA" w:rsidRPr="00C85608" w:rsidRDefault="001228CA" w:rsidP="00226510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 w:rsidRPr="00C85608">
        <w:rPr>
          <w:rFonts w:ascii="Times New Roman" w:hAnsi="Times New Roman"/>
          <w:bCs/>
          <w:sz w:val="26"/>
          <w:szCs w:val="26"/>
        </w:rPr>
        <w:t>СКЗИ, реализованные в УСПД (контроллерах) должны выбираться таким образом, чтобы средства СКЗИ в УСПД (контроллерах) Застройщика были полностью совместимы с СКЗИ ИСУ АО «Читаэнергосбыт».</w:t>
      </w:r>
      <w:r w:rsidR="00226510" w:rsidRPr="00C85608">
        <w:rPr>
          <w:rFonts w:ascii="Times New Roman" w:hAnsi="Times New Roman"/>
          <w:bCs/>
          <w:sz w:val="26"/>
          <w:szCs w:val="26"/>
        </w:rPr>
        <w:t xml:space="preserve"> СКЗИ должно быть совместимо с аппаратной платформой </w:t>
      </w:r>
      <w:proofErr w:type="spellStart"/>
      <w:r w:rsidR="00226510" w:rsidRPr="00C85608">
        <w:rPr>
          <w:rFonts w:ascii="Times New Roman" w:hAnsi="Times New Roman"/>
          <w:bCs/>
          <w:sz w:val="26"/>
          <w:szCs w:val="26"/>
        </w:rPr>
        <w:t>КриптоПРО</w:t>
      </w:r>
      <w:proofErr w:type="spellEnd"/>
      <w:r w:rsidR="00226510" w:rsidRPr="00C85608">
        <w:rPr>
          <w:rFonts w:ascii="Times New Roman" w:hAnsi="Times New Roman"/>
          <w:bCs/>
          <w:sz w:val="26"/>
          <w:szCs w:val="26"/>
        </w:rPr>
        <w:t xml:space="preserve"> NGate-320 (Класс криптографической защиты - КС3).</w:t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Типовые технические решения, имеющие возможность присоединения приборов учета к ИСУ АО «Читаэнергосбыт» для использования специализированными застройщиками</w:t>
      </w: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Передача данных по радиоканалу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LoRaWAN</w:t>
      </w:r>
      <w:r>
        <w:rPr>
          <w:rFonts w:ascii="Times New Roman" w:hAnsi="Times New Roman"/>
          <w:bCs/>
          <w:sz w:val="26"/>
          <w:szCs w:val="26"/>
        </w:rPr>
        <w:t xml:space="preserve"> на частоте 863–870 МГц. – это стандарт связи Интернета вещей – приоритетная для АО «Читаэнергосбыт» технология передачи данных.</w:t>
      </w:r>
    </w:p>
    <w:p w:rsidR="001228CA" w:rsidRDefault="001D78EE" w:rsidP="001228CA">
      <w:p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D78EE">
        <w:rPr>
          <w:rFonts w:ascii="Times New Roman" w:hAnsi="Times New Roman"/>
          <w:b/>
          <w:bCs/>
          <w:noProof/>
          <w:sz w:val="26"/>
          <w:szCs w:val="26"/>
        </w:rPr>
        <w:drawing>
          <wp:inline distT="0" distB="0" distL="0" distR="0">
            <wp:extent cx="6389894" cy="8542020"/>
            <wp:effectExtent l="0" t="0" r="0" b="0"/>
            <wp:docPr id="4" name="Рисунок 4" descr="O:\Инспекторский отдел\Технические требования к ИСУ\Версия 5 от 28.01.2026\Схема LoRa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Инспекторский отдел\Технические требования к ИСУ\Версия 5 от 28.01.2026\Схема LoRaW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94" cy="855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8CA" w:rsidRDefault="001228CA" w:rsidP="001228CA">
      <w:pPr>
        <w:pStyle w:val="ab"/>
        <w:tabs>
          <w:tab w:val="left" w:pos="1560"/>
        </w:tabs>
        <w:spacing w:after="0" w:line="360" w:lineRule="auto"/>
        <w:ind w:left="993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ПУ имеют специальный внутренний или внешний радиомодуль и внутреннюю или внешнюю антенну. Для приема сигналов многочисленных ПУ и иных устройств «умного дома», в населённых пунктах на высоких точках устанавливаются базовые станции LoRaWAN. </w:t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Достоинствами этих систем является большой радиус охвата – до 10 км по прямой в отсутствии преград и до 3 км в плотной городской застройке, возможность подключения многочисленных устройств (различных типов счетчиков, устройств умного дома) в радиусе приёма базовой станции, стоимость базовой станции, её монтажа и обслуживания в расчёте на одну точку учёта гораздо ниже, чем стоимость УСПД на точку учета.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настоящее время, на территории города Чита и некоторых населенных пунктах Забайкальского края АО «Читаэнергосбыт» развернута сеть базовых станций нового поколения российского производителя ООО «Вега-Абсолют» (г. Новосибирск) и ООО «Лартех» (г. Санкт-Петербург) работающих по технологии </w:t>
      </w:r>
      <w:r>
        <w:rPr>
          <w:rFonts w:ascii="Times New Roman" w:hAnsi="Times New Roman"/>
          <w:bCs/>
          <w:sz w:val="26"/>
          <w:szCs w:val="26"/>
          <w:lang w:val="en-US"/>
        </w:rPr>
        <w:t>LoRaWAN</w:t>
      </w:r>
      <w:r>
        <w:rPr>
          <w:rFonts w:ascii="Times New Roman" w:hAnsi="Times New Roman"/>
          <w:bCs/>
          <w:sz w:val="26"/>
          <w:szCs w:val="26"/>
        </w:rPr>
        <w:t xml:space="preserve"> на частоте 863–870 МГц и предназначенная для присоединения к ИСУ АО «Читаэнергосбыт» приборов учета коммунальных ресурсов, оснащенных </w:t>
      </w:r>
      <w:proofErr w:type="spellStart"/>
      <w:r>
        <w:rPr>
          <w:rFonts w:ascii="Times New Roman" w:hAnsi="Times New Roman"/>
          <w:bCs/>
          <w:sz w:val="26"/>
          <w:szCs w:val="26"/>
        </w:rPr>
        <w:t>радиомодулями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LoRaWAN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производства ООО «</w:t>
      </w:r>
      <w:proofErr w:type="spellStart"/>
      <w:r>
        <w:rPr>
          <w:rFonts w:ascii="Times New Roman" w:hAnsi="Times New Roman"/>
          <w:bCs/>
          <w:sz w:val="26"/>
          <w:szCs w:val="26"/>
        </w:rPr>
        <w:t>Лартех</w:t>
      </w:r>
      <w:proofErr w:type="spellEnd"/>
      <w:r>
        <w:rPr>
          <w:rFonts w:ascii="Times New Roman" w:hAnsi="Times New Roman"/>
          <w:bCs/>
          <w:sz w:val="26"/>
          <w:szCs w:val="26"/>
        </w:rPr>
        <w:t>» (г. Санкт-Петербург).</w:t>
      </w:r>
    </w:p>
    <w:p w:rsidR="001228CA" w:rsidRDefault="001228CA" w:rsidP="001228CA">
      <w:pPr>
        <w:pStyle w:val="ab"/>
        <w:tabs>
          <w:tab w:val="left" w:pos="993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полноценного функционирования ИСУ, АО «Читаэнергосбыт» располагает необходимым серверным оборудованием и соответствующим программным обеспечением, позволяющим присоединять к ИСУ АО «Читаэнергосбыт» приборы учета электрической энергии, воды, тепла и газа, оснащенных </w:t>
      </w:r>
      <w:proofErr w:type="spellStart"/>
      <w:r>
        <w:rPr>
          <w:rFonts w:ascii="Times New Roman" w:hAnsi="Times New Roman"/>
          <w:bCs/>
          <w:sz w:val="26"/>
          <w:szCs w:val="26"/>
        </w:rPr>
        <w:t>радиомодулями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LoRaWAN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производства ООО «</w:t>
      </w:r>
      <w:proofErr w:type="spellStart"/>
      <w:r>
        <w:rPr>
          <w:rFonts w:ascii="Times New Roman" w:hAnsi="Times New Roman"/>
          <w:bCs/>
          <w:sz w:val="26"/>
          <w:szCs w:val="26"/>
        </w:rPr>
        <w:t>Лартех</w:t>
      </w:r>
      <w:proofErr w:type="spellEnd"/>
      <w:r>
        <w:rPr>
          <w:rFonts w:ascii="Times New Roman" w:hAnsi="Times New Roman"/>
          <w:bCs/>
          <w:sz w:val="26"/>
          <w:szCs w:val="26"/>
        </w:rPr>
        <w:t>» (г. Санкт-Петербург), интегрированных в ПО «Энфорс» (</w:t>
      </w:r>
      <w:hyperlink r:id="rId8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 xml:space="preserve">).  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Передача данных по низковольтной не силовой сети по интерфейсу RS-485 </w:t>
      </w:r>
    </w:p>
    <w:p w:rsidR="001228CA" w:rsidRDefault="001D78EE" w:rsidP="001D78E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1228CA">
        <w:rPr>
          <w:rFonts w:ascii="Times New Roman" w:hAnsi="Times New Roman"/>
          <w:bCs/>
          <w:sz w:val="26"/>
          <w:szCs w:val="26"/>
        </w:rPr>
        <w:t>От ПУ до устройства сбора и передачи данных (УСПД) информация передается по проводам «витая пара», уложенным в многоквартирных домах в специальных коробах для соединения с расположенным рядом устройством сбора и передачи данных (УСПД) через промежуточные разветвители.</w:t>
      </w:r>
    </w:p>
    <w:p w:rsidR="001228CA" w:rsidRDefault="001D78EE" w:rsidP="001D78EE">
      <w:pPr>
        <w:pStyle w:val="ab"/>
        <w:tabs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1D78EE">
        <w:rPr>
          <w:rFonts w:ascii="Times New Roman" w:hAnsi="Times New Roman"/>
          <w:bCs/>
          <w:noProof/>
          <w:sz w:val="26"/>
          <w:szCs w:val="26"/>
        </w:rPr>
        <w:lastRenderedPageBreak/>
        <w:drawing>
          <wp:inline distT="0" distB="0" distL="0" distR="0">
            <wp:extent cx="6390005" cy="9037477"/>
            <wp:effectExtent l="0" t="0" r="0" b="0"/>
            <wp:docPr id="5" name="Рисунок 5" descr="O:\Инспекторский отдел\Технические требования к ИСУ\Версия 5 от 28.01.2026\Схема RS-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Инспекторский отдел\Технические требования к ИСУ\Версия 5 от 28.01.2026\Схема RS-4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ab/>
        <w:t>Достоинством этого способа является дешевизна, низкая отказоустойчивость. Недостаток заключается в том, что «витая пара» при массовом использовании (от 50 до 300 приборов учёта в каждом многоквартирном доме) может быть подвержена многочисленным отказам и преднамеренным обрывам, что приведет к удорожанию стоимости обслуживания ИСУ.</w:t>
      </w:r>
    </w:p>
    <w:p w:rsidR="001228CA" w:rsidRDefault="001228CA" w:rsidP="001228CA">
      <w:pPr>
        <w:pStyle w:val="ab"/>
        <w:tabs>
          <w:tab w:val="left" w:pos="993"/>
        </w:tabs>
        <w:spacing w:after="0" w:line="360" w:lineRule="auto"/>
        <w:ind w:left="0"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АО «Читаэнергосбыт» располагает возможностью присоединения к ИСУ по интерфейсу RS-485 посредством «витой пары» приборов учета электрической энергии, при наличии УСПД в перечне оборудования, интегрированного в ПО «Энфорс» (</w:t>
      </w:r>
      <w:hyperlink r:id="rId10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 xml:space="preserve">).  </w:t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1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Передача данных по беспроводному каналу GSМ-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GPRS</w:t>
      </w:r>
    </w:p>
    <w:p w:rsidR="001228CA" w:rsidRDefault="001D78EE" w:rsidP="001D78EE">
      <w:pPr>
        <w:pStyle w:val="ab"/>
        <w:tabs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1D78EE">
        <w:rPr>
          <w:rFonts w:ascii="Times New Roman" w:hAnsi="Times New Roman"/>
          <w:bCs/>
          <w:noProof/>
          <w:sz w:val="26"/>
          <w:szCs w:val="26"/>
        </w:rPr>
        <w:drawing>
          <wp:inline distT="0" distB="0" distL="0" distR="0">
            <wp:extent cx="5569585" cy="6301740"/>
            <wp:effectExtent l="0" t="0" r="0" b="3810"/>
            <wp:docPr id="6" name="Рисунок 6" descr="O:\Инспекторский отдел\Технические требования к ИСУ\Версия 5 от 28.01.2026\Схема 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Инспекторский отдел\Технические требования к ИСУ\Версия 5 от 28.01.2026\Схема GS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12" cy="634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ab/>
        <w:t xml:space="preserve">Это решение для оснащения небольших пунктов, а также для тех точек в многоквартирных домах, иных зданиях, до которых «не добивает» УСПД или базовая станция LPWAN – LoRaWAN. Если ИСУ в городе строится на основе УСПД, то для небольших домов на 2-4-10 квартир УСПД может оказаться дороже в пересчете на одну точку учёта, чем прибор со встроенным </w:t>
      </w:r>
      <w:r>
        <w:rPr>
          <w:rFonts w:ascii="Times New Roman" w:hAnsi="Times New Roman"/>
          <w:b/>
          <w:bCs/>
          <w:sz w:val="26"/>
          <w:szCs w:val="26"/>
        </w:rPr>
        <w:t>GSМ-модулем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Недостатком ПУ со встроенным </w:t>
      </w:r>
      <w:r>
        <w:rPr>
          <w:rFonts w:ascii="Times New Roman" w:hAnsi="Times New Roman"/>
          <w:b/>
          <w:bCs/>
          <w:sz w:val="26"/>
          <w:szCs w:val="26"/>
        </w:rPr>
        <w:t>GSМ-модулем</w:t>
      </w:r>
      <w:r>
        <w:rPr>
          <w:rFonts w:ascii="Times New Roman" w:hAnsi="Times New Roman"/>
          <w:bCs/>
          <w:sz w:val="26"/>
          <w:szCs w:val="26"/>
        </w:rPr>
        <w:t xml:space="preserve"> является высокие эксплуатационные издержки, т.к. нужно оплачивать ежемесячный трафик интернета посредством </w:t>
      </w:r>
      <w:r>
        <w:rPr>
          <w:rFonts w:ascii="Times New Roman" w:hAnsi="Times New Roman"/>
          <w:bCs/>
          <w:sz w:val="26"/>
          <w:szCs w:val="26"/>
          <w:lang w:val="en-US"/>
        </w:rPr>
        <w:t>SIM</w:t>
      </w:r>
      <w:r>
        <w:rPr>
          <w:rFonts w:ascii="Times New Roman" w:hAnsi="Times New Roman"/>
          <w:bCs/>
          <w:sz w:val="26"/>
          <w:szCs w:val="26"/>
        </w:rPr>
        <w:t>-карты для каждого такого прибора учета для осуществления нескольких сеансов связи в месяц. Кроме того, большое количество таких приборов учета, отправляющих данные на сервер, потребует широкого канала для приёма таких сообщений: одно дело опрашивать несколько тысяч УСПД и базовых станций в регионе, а другое – сотни тысяч отдельных приборов учёта. Для этого и создаётся промежуточный уровень из УСПД и (или) базовых станций.</w:t>
      </w:r>
    </w:p>
    <w:p w:rsidR="001228CA" w:rsidRDefault="001228CA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В АО «Читаэнергосбыт» имеется возможность присоединения к ИСУ приборов учета электрической энергии с передачей данных по </w:t>
      </w:r>
      <w:r>
        <w:rPr>
          <w:rFonts w:ascii="Times New Roman" w:hAnsi="Times New Roman"/>
          <w:b/>
          <w:bCs/>
          <w:sz w:val="26"/>
          <w:szCs w:val="26"/>
        </w:rPr>
        <w:t xml:space="preserve">GSМ-модулю, </w:t>
      </w:r>
      <w:r>
        <w:rPr>
          <w:rFonts w:ascii="Times New Roman" w:hAnsi="Times New Roman"/>
          <w:bCs/>
          <w:sz w:val="26"/>
          <w:szCs w:val="26"/>
        </w:rPr>
        <w:t>интегрированных в ПО «Энфорс» (</w:t>
      </w:r>
      <w:hyperlink r:id="rId12" w:history="1">
        <w:r>
          <w:rPr>
            <w:rStyle w:val="a5"/>
            <w:rFonts w:ascii="Times New Roman" w:hAnsi="Times New Roman"/>
            <w:bCs/>
            <w:sz w:val="26"/>
            <w:szCs w:val="26"/>
          </w:rPr>
          <w:t>https://nforceit.ru/support/</w:t>
        </w:r>
      </w:hyperlink>
      <w:r>
        <w:rPr>
          <w:rFonts w:ascii="Times New Roman" w:hAnsi="Times New Roman"/>
          <w:bCs/>
          <w:sz w:val="26"/>
          <w:szCs w:val="26"/>
        </w:rPr>
        <w:t xml:space="preserve">). </w:t>
      </w:r>
    </w:p>
    <w:p w:rsidR="001D78EE" w:rsidRDefault="001D78EE" w:rsidP="001228C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D78EE" w:rsidRDefault="001D78EE" w:rsidP="001D78EE">
      <w:pPr>
        <w:pStyle w:val="ab"/>
        <w:numPr>
          <w:ilvl w:val="1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/>
          <w:bCs/>
          <w:sz w:val="26"/>
          <w:szCs w:val="26"/>
        </w:rPr>
        <w:t>Передача данных по беспроводному каналу</w:t>
      </w:r>
      <w:r>
        <w:rPr>
          <w:rFonts w:ascii="Times New Roman" w:hAnsi="Times New Roman"/>
          <w:b/>
          <w:bCs/>
          <w:sz w:val="26"/>
          <w:szCs w:val="26"/>
        </w:rPr>
        <w:t xml:space="preserve"> 2,4 ГГц (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Wi</w:t>
      </w:r>
      <w:r w:rsidRPr="001D78EE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Fi</w:t>
      </w:r>
      <w:r w:rsidRPr="001D78EE">
        <w:rPr>
          <w:rFonts w:ascii="Times New Roman" w:hAnsi="Times New Roman"/>
          <w:b/>
          <w:bCs/>
          <w:sz w:val="26"/>
          <w:szCs w:val="26"/>
        </w:rPr>
        <w:t>)</w:t>
      </w:r>
    </w:p>
    <w:p w:rsidR="001D78EE" w:rsidRDefault="001D78EE" w:rsidP="001D78E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1D78EE">
        <w:rPr>
          <w:rFonts w:ascii="Times New Roman" w:hAnsi="Times New Roman"/>
          <w:bCs/>
          <w:sz w:val="26"/>
          <w:szCs w:val="26"/>
        </w:rPr>
        <w:t>П</w:t>
      </w:r>
      <w:r>
        <w:rPr>
          <w:rFonts w:ascii="Times New Roman" w:hAnsi="Times New Roman"/>
          <w:bCs/>
          <w:sz w:val="26"/>
          <w:szCs w:val="26"/>
        </w:rPr>
        <w:t>риборы учета</w:t>
      </w:r>
      <w:r w:rsidRPr="001D78EE">
        <w:rPr>
          <w:rFonts w:ascii="Times New Roman" w:hAnsi="Times New Roman"/>
          <w:bCs/>
          <w:sz w:val="26"/>
          <w:szCs w:val="26"/>
        </w:rPr>
        <w:t xml:space="preserve"> имеют внутренний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радиомодуль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Wi-Fi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 xml:space="preserve"> и внутреннюю или внешнюю антенну. Для приема сигналов многочисленных ПУ, в</w:t>
      </w:r>
      <w:r>
        <w:rPr>
          <w:rFonts w:ascii="Times New Roman" w:hAnsi="Times New Roman"/>
          <w:bCs/>
          <w:sz w:val="26"/>
          <w:szCs w:val="26"/>
        </w:rPr>
        <w:t>о вводно-распределительном устройстве многоквартирного дома</w:t>
      </w:r>
      <w:r w:rsidRPr="001D78EE">
        <w:rPr>
          <w:rFonts w:ascii="Times New Roman" w:hAnsi="Times New Roman"/>
          <w:bCs/>
          <w:sz w:val="26"/>
          <w:szCs w:val="26"/>
        </w:rPr>
        <w:t xml:space="preserve"> устанавливаются </w:t>
      </w:r>
      <w:r>
        <w:rPr>
          <w:rFonts w:ascii="Times New Roman" w:hAnsi="Times New Roman"/>
          <w:bCs/>
          <w:sz w:val="26"/>
          <w:szCs w:val="26"/>
        </w:rPr>
        <w:t>УСПД</w:t>
      </w:r>
      <w:r w:rsidRPr="001D78EE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 xml:space="preserve">От ПУ до УСПД передача данных осуществляется по радиоканалу на частоте 2,4 ГГц. </w:t>
      </w:r>
    </w:p>
    <w:p w:rsidR="001D78EE" w:rsidRDefault="001D78EE" w:rsidP="00CA190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1D78EE">
        <w:rPr>
          <w:rFonts w:ascii="Times New Roman" w:hAnsi="Times New Roman"/>
          <w:bCs/>
          <w:sz w:val="26"/>
          <w:szCs w:val="26"/>
        </w:rPr>
        <w:t>Самоорганизующаяся беспроводная сеть (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mesh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позволяет экономить время и снизить расходы на установку и эксплуатацию, а также развертывание системы учета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Plug-and-play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технология. Пуско-наладочные работы не требуют особой квалификации, что значительно упрощает и удешевляет монтаж.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Wi-Fi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 xml:space="preserve"> интерфейс защищен уникальным паролем счетчика. Безопасность самоорганизующейся сети (</w:t>
      </w:r>
      <w:proofErr w:type="spellStart"/>
      <w:r w:rsidRPr="001D78EE">
        <w:rPr>
          <w:rFonts w:ascii="Times New Roman" w:hAnsi="Times New Roman"/>
          <w:bCs/>
          <w:sz w:val="26"/>
          <w:szCs w:val="26"/>
        </w:rPr>
        <w:t>mesh</w:t>
      </w:r>
      <w:proofErr w:type="spellEnd"/>
      <w:r w:rsidRPr="001D78E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в сетке зашифровывается динамически сгенерированным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ключом. Ключ генерируется сетевым контроллером сети 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периодически обновляется. Счетчик имеет уникальный пароль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для регистрации сети. Для подключения к счетчику MDC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D78EE">
        <w:rPr>
          <w:rFonts w:ascii="Times New Roman" w:hAnsi="Times New Roman"/>
          <w:bCs/>
          <w:sz w:val="26"/>
          <w:szCs w:val="26"/>
        </w:rPr>
        <w:t>необходим сетевой пароль.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Безопасность передаваемых данных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обеспечивается протоколом безопасности транспортного уровня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(DTLS) и позволяет сообщаться безопасным способом,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lastRenderedPageBreak/>
        <w:t>предотвращающим перехват, прослушивание, вмешательство, не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нарушая защиты целостности данных или подделку содержимого</w:t>
      </w:r>
      <w:r w:rsidR="00CA190E">
        <w:rPr>
          <w:rFonts w:ascii="Times New Roman" w:hAnsi="Times New Roman"/>
          <w:bCs/>
          <w:sz w:val="26"/>
          <w:szCs w:val="26"/>
        </w:rPr>
        <w:t xml:space="preserve"> </w:t>
      </w:r>
      <w:r w:rsidR="00CA190E" w:rsidRPr="00CA190E">
        <w:rPr>
          <w:rFonts w:ascii="Times New Roman" w:hAnsi="Times New Roman"/>
          <w:bCs/>
          <w:sz w:val="26"/>
          <w:szCs w:val="26"/>
        </w:rPr>
        <w:t>сообщения.</w:t>
      </w:r>
    </w:p>
    <w:p w:rsidR="007E4982" w:rsidRPr="001D78EE" w:rsidRDefault="007E4982" w:rsidP="00CA190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7E4982">
        <w:rPr>
          <w:rFonts w:ascii="Times New Roman" w:hAnsi="Times New Roman"/>
          <w:bCs/>
          <w:noProof/>
          <w:sz w:val="26"/>
          <w:szCs w:val="26"/>
        </w:rPr>
        <w:drawing>
          <wp:inline distT="0" distB="0" distL="0" distR="0">
            <wp:extent cx="6389370" cy="8442960"/>
            <wp:effectExtent l="0" t="0" r="0" b="0"/>
            <wp:docPr id="7" name="Рисунок 7" descr="O:\Инспекторский отдел\Технические требования к ИСУ\Версия 5 от 28.01.2026\Схема Wi-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Инспекторский отдел\Технические требования к ИСУ\Версия 5 от 28.01.2026\Схема Wi-F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71" cy="84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8EE" w:rsidRPr="001D78EE" w:rsidRDefault="001D78EE" w:rsidP="001D78EE">
      <w:pPr>
        <w:pStyle w:val="ab"/>
        <w:tabs>
          <w:tab w:val="left" w:pos="1276"/>
        </w:tabs>
        <w:spacing w:after="0" w:line="360" w:lineRule="auto"/>
        <w:ind w:left="128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28CA" w:rsidRDefault="001228CA" w:rsidP="001228CA">
      <w:pPr>
        <w:pStyle w:val="ab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Заключительные положения 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Российскими производителями выпускаются разнообразные приборы учета электрической энергии, иное оборудование и программное обеспечение для создания интеллектуальных систем учета электрической энергии (мощности) (далее – ИСУ), а также используются различные, зачастую несовместимые протоколы передачи данных. </w:t>
      </w:r>
    </w:p>
    <w:p w:rsidR="001228CA" w:rsidRDefault="00C85608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1228CA">
        <w:rPr>
          <w:rFonts w:ascii="Times New Roman" w:hAnsi="Times New Roman"/>
          <w:bCs/>
          <w:sz w:val="26"/>
          <w:szCs w:val="26"/>
        </w:rPr>
        <w:t>астройщик</w:t>
      </w:r>
      <w:r w:rsidR="00B458A5">
        <w:rPr>
          <w:rFonts w:ascii="Times New Roman" w:hAnsi="Times New Roman"/>
          <w:bCs/>
          <w:sz w:val="26"/>
          <w:szCs w:val="26"/>
        </w:rPr>
        <w:t>и</w:t>
      </w:r>
      <w:r w:rsidR="001228CA">
        <w:rPr>
          <w:rFonts w:ascii="Times New Roman" w:hAnsi="Times New Roman"/>
          <w:bCs/>
          <w:sz w:val="26"/>
          <w:szCs w:val="26"/>
        </w:rPr>
        <w:t>, осуществляющи</w:t>
      </w:r>
      <w:r w:rsidR="00B458A5">
        <w:rPr>
          <w:rFonts w:ascii="Times New Roman" w:hAnsi="Times New Roman"/>
          <w:bCs/>
          <w:sz w:val="26"/>
          <w:szCs w:val="26"/>
        </w:rPr>
        <w:t>е</w:t>
      </w:r>
      <w:r w:rsidR="001228CA">
        <w:rPr>
          <w:rFonts w:ascii="Times New Roman" w:hAnsi="Times New Roman"/>
          <w:bCs/>
          <w:sz w:val="26"/>
          <w:szCs w:val="26"/>
        </w:rPr>
        <w:t xml:space="preserve"> строительство многоквартирных домов, разрешение на строительство которых получено после 01 января 2021 года, </w:t>
      </w:r>
      <w:r>
        <w:rPr>
          <w:rFonts w:ascii="Times New Roman" w:hAnsi="Times New Roman"/>
          <w:bCs/>
          <w:sz w:val="26"/>
          <w:szCs w:val="26"/>
        </w:rPr>
        <w:t xml:space="preserve">в порядке, предусмотренном ОПФРР, </w:t>
      </w:r>
      <w:r w:rsidR="001228CA">
        <w:rPr>
          <w:rFonts w:ascii="Times New Roman" w:hAnsi="Times New Roman"/>
          <w:bCs/>
          <w:sz w:val="26"/>
          <w:szCs w:val="26"/>
        </w:rPr>
        <w:t xml:space="preserve">на этапе проектирования </w:t>
      </w:r>
      <w:r>
        <w:rPr>
          <w:rFonts w:ascii="Times New Roman" w:hAnsi="Times New Roman"/>
          <w:bCs/>
          <w:sz w:val="26"/>
          <w:szCs w:val="26"/>
        </w:rPr>
        <w:t xml:space="preserve">обязаны </w:t>
      </w:r>
      <w:r w:rsidR="001228CA" w:rsidRPr="00C85608">
        <w:rPr>
          <w:rFonts w:ascii="Times New Roman" w:hAnsi="Times New Roman"/>
          <w:bCs/>
          <w:sz w:val="26"/>
          <w:szCs w:val="26"/>
        </w:rPr>
        <w:t>согласовать с</w:t>
      </w:r>
      <w:r w:rsidR="001228CA">
        <w:rPr>
          <w:rFonts w:ascii="Times New Roman" w:hAnsi="Times New Roman"/>
          <w:bCs/>
          <w:sz w:val="26"/>
          <w:szCs w:val="26"/>
        </w:rPr>
        <w:t xml:space="preserve"> АО «Читаэнергосбыт» совместимость индивидуальных и коллективных (общедомовых) приборов учета электрической энергии с технологией передачи данных в ИСУ АО «Читаэнергосбыт» для возможности беспрепятственного присоединения приборов учета электрической энергии к ИСУ АО «Читаэнергосбыт» и предоставления в дальнейшем доступа к минимальному набору функций ИСУ</w:t>
      </w:r>
      <w:r>
        <w:rPr>
          <w:rFonts w:ascii="Times New Roman" w:hAnsi="Times New Roman"/>
          <w:bCs/>
          <w:sz w:val="26"/>
          <w:szCs w:val="26"/>
        </w:rPr>
        <w:t xml:space="preserve">, а также </w:t>
      </w:r>
      <w:r w:rsidRPr="00C85608">
        <w:rPr>
          <w:rFonts w:ascii="Times New Roman" w:hAnsi="Times New Roman"/>
          <w:bCs/>
          <w:sz w:val="26"/>
          <w:szCs w:val="26"/>
        </w:rPr>
        <w:t>осуществля</w:t>
      </w:r>
      <w:r w:rsidR="00B458A5">
        <w:rPr>
          <w:rFonts w:ascii="Times New Roman" w:hAnsi="Times New Roman"/>
          <w:bCs/>
          <w:sz w:val="26"/>
          <w:szCs w:val="26"/>
        </w:rPr>
        <w:t>ть</w:t>
      </w:r>
      <w:bookmarkStart w:id="0" w:name="_GoBack"/>
      <w:bookmarkEnd w:id="0"/>
      <w:r w:rsidRPr="00C85608">
        <w:rPr>
          <w:rFonts w:ascii="Times New Roman" w:hAnsi="Times New Roman"/>
          <w:bCs/>
          <w:sz w:val="26"/>
          <w:szCs w:val="26"/>
        </w:rPr>
        <w:t xml:space="preserve"> пусконаладочные работы компонентов интеллектуальной системы учета электрической энергии (мощности), установленных в соответствующем многоквартирном доме</w:t>
      </w:r>
      <w:r w:rsidR="001228CA">
        <w:rPr>
          <w:rFonts w:ascii="Times New Roman" w:hAnsi="Times New Roman"/>
          <w:bCs/>
          <w:sz w:val="26"/>
          <w:szCs w:val="26"/>
        </w:rPr>
        <w:t>.</w:t>
      </w:r>
    </w:p>
    <w:p w:rsidR="001228CA" w:rsidRDefault="001228CA" w:rsidP="001228CA">
      <w:pPr>
        <w:spacing w:after="0" w:line="360" w:lineRule="auto"/>
        <w:ind w:firstLine="99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Справки и иную информацию по интеллектуальной системе учета АО</w:t>
      </w:r>
      <w:r w:rsidR="00FC5D63">
        <w:rPr>
          <w:rFonts w:ascii="Times New Roman" w:hAnsi="Times New Roman"/>
          <w:bCs/>
          <w:sz w:val="26"/>
          <w:szCs w:val="26"/>
        </w:rPr>
        <w:t> </w:t>
      </w:r>
      <w:r>
        <w:rPr>
          <w:rFonts w:ascii="Times New Roman" w:hAnsi="Times New Roman"/>
          <w:bCs/>
          <w:sz w:val="26"/>
          <w:szCs w:val="26"/>
        </w:rPr>
        <w:t>«Читаэнергосбыт», в том числе по вопросам согласования проектов в части учета электрической энергии</w:t>
      </w:r>
      <w:r w:rsidR="00C85608">
        <w:rPr>
          <w:rFonts w:ascii="Times New Roman" w:hAnsi="Times New Roman"/>
          <w:bCs/>
          <w:sz w:val="26"/>
          <w:szCs w:val="26"/>
        </w:rPr>
        <w:t>,</w:t>
      </w:r>
      <w:r w:rsidR="00D735E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можно получить по телефонам отдела учета и качества электрической энергии</w:t>
      </w:r>
      <w:r w:rsidR="00226510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23-33-00 (доб. 939, 321, 393), или написать сообщение на следующие адреса электронной почты: </w:t>
      </w:r>
      <w:hyperlink r:id="rId14" w:history="1"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Vasilenko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_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AN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@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e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-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sbyt</w:t>
        </w:r>
        <w:r>
          <w:rPr>
            <w:rStyle w:val="a5"/>
            <w:rFonts w:ascii="Times New Roman" w:hAnsi="Times New Roman"/>
            <w:bCs/>
            <w:sz w:val="26"/>
            <w:szCs w:val="26"/>
          </w:rPr>
          <w:t>.</w:t>
        </w:r>
        <w:r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ru</w:t>
        </w:r>
      </w:hyperlink>
      <w:r>
        <w:rPr>
          <w:rStyle w:val="a5"/>
          <w:rFonts w:ascii="Times New Roman" w:hAnsi="Times New Roman"/>
          <w:bCs/>
          <w:sz w:val="26"/>
          <w:szCs w:val="26"/>
        </w:rPr>
        <w:t xml:space="preserve">, 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Kuzmin</w:t>
      </w:r>
      <w:r>
        <w:rPr>
          <w:rStyle w:val="a5"/>
          <w:rFonts w:ascii="Times New Roman" w:hAnsi="Times New Roman"/>
          <w:bCs/>
          <w:sz w:val="26"/>
          <w:szCs w:val="26"/>
        </w:rPr>
        <w:t>_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IV</w:t>
      </w:r>
      <w:r>
        <w:rPr>
          <w:rStyle w:val="a5"/>
          <w:rFonts w:ascii="Times New Roman" w:hAnsi="Times New Roman"/>
          <w:bCs/>
          <w:sz w:val="26"/>
          <w:szCs w:val="26"/>
        </w:rPr>
        <w:t>@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e</w:t>
      </w:r>
      <w:r>
        <w:rPr>
          <w:rStyle w:val="a5"/>
          <w:rFonts w:ascii="Times New Roman" w:hAnsi="Times New Roman"/>
          <w:bCs/>
          <w:sz w:val="26"/>
          <w:szCs w:val="26"/>
        </w:rPr>
        <w:t>-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sbyt</w:t>
      </w:r>
      <w:r>
        <w:rPr>
          <w:rStyle w:val="a5"/>
          <w:rFonts w:ascii="Times New Roman" w:hAnsi="Times New Roman"/>
          <w:bCs/>
          <w:sz w:val="26"/>
          <w:szCs w:val="26"/>
        </w:rPr>
        <w:t>.</w:t>
      </w:r>
      <w:r>
        <w:rPr>
          <w:rStyle w:val="a5"/>
          <w:rFonts w:ascii="Times New Roman" w:hAnsi="Times New Roman"/>
          <w:bCs/>
          <w:sz w:val="26"/>
          <w:szCs w:val="26"/>
          <w:lang w:val="en-US"/>
        </w:rPr>
        <w:t>ru</w:t>
      </w:r>
      <w:r>
        <w:rPr>
          <w:rStyle w:val="a5"/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4143A" w:rsidRPr="001228CA" w:rsidRDefault="0054143A" w:rsidP="001228CA"/>
    <w:sectPr w:rsidR="0054143A" w:rsidRPr="001228CA" w:rsidSect="00786AEE">
      <w:pgSz w:w="11906" w:h="16838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0117"/>
    <w:multiLevelType w:val="hybridMultilevel"/>
    <w:tmpl w:val="C4C083B2"/>
    <w:lvl w:ilvl="0" w:tplc="E214A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E3D7C"/>
    <w:multiLevelType w:val="multilevel"/>
    <w:tmpl w:val="75C0C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6C058F"/>
    <w:multiLevelType w:val="multilevel"/>
    <w:tmpl w:val="75C0C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C685D68"/>
    <w:multiLevelType w:val="hybridMultilevel"/>
    <w:tmpl w:val="640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F162C"/>
    <w:multiLevelType w:val="multilevel"/>
    <w:tmpl w:val="29DC5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2A2F08"/>
    <w:multiLevelType w:val="multilevel"/>
    <w:tmpl w:val="D1F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90424"/>
    <w:multiLevelType w:val="hybridMultilevel"/>
    <w:tmpl w:val="15A49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12430"/>
    <w:multiLevelType w:val="hybridMultilevel"/>
    <w:tmpl w:val="EECA522A"/>
    <w:lvl w:ilvl="0" w:tplc="27762AD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DA"/>
    <w:rsid w:val="00013877"/>
    <w:rsid w:val="00015C21"/>
    <w:rsid w:val="000340ED"/>
    <w:rsid w:val="00046718"/>
    <w:rsid w:val="0004735D"/>
    <w:rsid w:val="00055152"/>
    <w:rsid w:val="000574A2"/>
    <w:rsid w:val="00060962"/>
    <w:rsid w:val="00063DCA"/>
    <w:rsid w:val="000924B4"/>
    <w:rsid w:val="000A2721"/>
    <w:rsid w:val="000A6B5D"/>
    <w:rsid w:val="000B6B66"/>
    <w:rsid w:val="000C0E00"/>
    <w:rsid w:val="000C2D94"/>
    <w:rsid w:val="000D01CE"/>
    <w:rsid w:val="000F5B2C"/>
    <w:rsid w:val="001075C5"/>
    <w:rsid w:val="00114662"/>
    <w:rsid w:val="001228CA"/>
    <w:rsid w:val="001306B6"/>
    <w:rsid w:val="00177679"/>
    <w:rsid w:val="00183455"/>
    <w:rsid w:val="001A6497"/>
    <w:rsid w:val="001B6FA5"/>
    <w:rsid w:val="001C24D3"/>
    <w:rsid w:val="001D153A"/>
    <w:rsid w:val="001D78EE"/>
    <w:rsid w:val="001E62B8"/>
    <w:rsid w:val="001F083B"/>
    <w:rsid w:val="00203985"/>
    <w:rsid w:val="0021016E"/>
    <w:rsid w:val="00216BC9"/>
    <w:rsid w:val="00226510"/>
    <w:rsid w:val="00226EA8"/>
    <w:rsid w:val="00227055"/>
    <w:rsid w:val="00251955"/>
    <w:rsid w:val="002521F6"/>
    <w:rsid w:val="00272F0B"/>
    <w:rsid w:val="002A57E5"/>
    <w:rsid w:val="002A7A1E"/>
    <w:rsid w:val="002B25A9"/>
    <w:rsid w:val="002B60E0"/>
    <w:rsid w:val="002C06AA"/>
    <w:rsid w:val="002C11A2"/>
    <w:rsid w:val="002E08D5"/>
    <w:rsid w:val="00305080"/>
    <w:rsid w:val="0031015D"/>
    <w:rsid w:val="00330BBB"/>
    <w:rsid w:val="00334E4B"/>
    <w:rsid w:val="0035228D"/>
    <w:rsid w:val="003625FA"/>
    <w:rsid w:val="003638A1"/>
    <w:rsid w:val="003928A3"/>
    <w:rsid w:val="00393988"/>
    <w:rsid w:val="00394E19"/>
    <w:rsid w:val="003A4C4D"/>
    <w:rsid w:val="003A58B4"/>
    <w:rsid w:val="003B3636"/>
    <w:rsid w:val="003C011F"/>
    <w:rsid w:val="003C4DD8"/>
    <w:rsid w:val="003D0795"/>
    <w:rsid w:val="003E0A1F"/>
    <w:rsid w:val="003E59C7"/>
    <w:rsid w:val="003F5650"/>
    <w:rsid w:val="0040160F"/>
    <w:rsid w:val="004056BC"/>
    <w:rsid w:val="00411836"/>
    <w:rsid w:val="004164AB"/>
    <w:rsid w:val="00433039"/>
    <w:rsid w:val="00437388"/>
    <w:rsid w:val="00460960"/>
    <w:rsid w:val="00462E08"/>
    <w:rsid w:val="0046369F"/>
    <w:rsid w:val="00465A20"/>
    <w:rsid w:val="00467FC9"/>
    <w:rsid w:val="0047701E"/>
    <w:rsid w:val="004837A7"/>
    <w:rsid w:val="004A1F2A"/>
    <w:rsid w:val="004B35E6"/>
    <w:rsid w:val="004C4268"/>
    <w:rsid w:val="004D2E3A"/>
    <w:rsid w:val="004E2AA0"/>
    <w:rsid w:val="004E333F"/>
    <w:rsid w:val="004E6B60"/>
    <w:rsid w:val="005059EF"/>
    <w:rsid w:val="00521C6D"/>
    <w:rsid w:val="00522103"/>
    <w:rsid w:val="00525469"/>
    <w:rsid w:val="00526F3B"/>
    <w:rsid w:val="0054143A"/>
    <w:rsid w:val="00541951"/>
    <w:rsid w:val="00567BF9"/>
    <w:rsid w:val="00580960"/>
    <w:rsid w:val="005A06DD"/>
    <w:rsid w:val="005C1346"/>
    <w:rsid w:val="005D5548"/>
    <w:rsid w:val="005E76AA"/>
    <w:rsid w:val="005F3A35"/>
    <w:rsid w:val="006146C4"/>
    <w:rsid w:val="00617D15"/>
    <w:rsid w:val="00620B73"/>
    <w:rsid w:val="00643F64"/>
    <w:rsid w:val="00645E92"/>
    <w:rsid w:val="0065248D"/>
    <w:rsid w:val="0066563B"/>
    <w:rsid w:val="00666C27"/>
    <w:rsid w:val="00673FFD"/>
    <w:rsid w:val="006822F9"/>
    <w:rsid w:val="00692BE4"/>
    <w:rsid w:val="006B1E2C"/>
    <w:rsid w:val="006C6B40"/>
    <w:rsid w:val="006D2503"/>
    <w:rsid w:val="006F00BA"/>
    <w:rsid w:val="00702C50"/>
    <w:rsid w:val="00703FE0"/>
    <w:rsid w:val="007116EA"/>
    <w:rsid w:val="00772C83"/>
    <w:rsid w:val="00781E45"/>
    <w:rsid w:val="0078272D"/>
    <w:rsid w:val="00786AEE"/>
    <w:rsid w:val="007C4EF1"/>
    <w:rsid w:val="007C5FC5"/>
    <w:rsid w:val="007D062E"/>
    <w:rsid w:val="007D0A7C"/>
    <w:rsid w:val="007D3888"/>
    <w:rsid w:val="007E4982"/>
    <w:rsid w:val="007F7451"/>
    <w:rsid w:val="008028DB"/>
    <w:rsid w:val="008174C0"/>
    <w:rsid w:val="0082035E"/>
    <w:rsid w:val="00834055"/>
    <w:rsid w:val="00847F37"/>
    <w:rsid w:val="00850AB4"/>
    <w:rsid w:val="00856357"/>
    <w:rsid w:val="0086342E"/>
    <w:rsid w:val="00872419"/>
    <w:rsid w:val="008760C6"/>
    <w:rsid w:val="00893BE3"/>
    <w:rsid w:val="008B2715"/>
    <w:rsid w:val="008D41D9"/>
    <w:rsid w:val="008E23FD"/>
    <w:rsid w:val="009027D5"/>
    <w:rsid w:val="009270A6"/>
    <w:rsid w:val="009328AF"/>
    <w:rsid w:val="00943ACC"/>
    <w:rsid w:val="00965763"/>
    <w:rsid w:val="009665C0"/>
    <w:rsid w:val="00991C7E"/>
    <w:rsid w:val="00991E95"/>
    <w:rsid w:val="009935A4"/>
    <w:rsid w:val="009969BD"/>
    <w:rsid w:val="009A2065"/>
    <w:rsid w:val="009B1F6A"/>
    <w:rsid w:val="009B5CB6"/>
    <w:rsid w:val="00A32AE7"/>
    <w:rsid w:val="00A615C6"/>
    <w:rsid w:val="00A80498"/>
    <w:rsid w:val="00AB20A4"/>
    <w:rsid w:val="00AB7071"/>
    <w:rsid w:val="00B079A6"/>
    <w:rsid w:val="00B101F1"/>
    <w:rsid w:val="00B121D6"/>
    <w:rsid w:val="00B14EF1"/>
    <w:rsid w:val="00B259FF"/>
    <w:rsid w:val="00B260FC"/>
    <w:rsid w:val="00B30349"/>
    <w:rsid w:val="00B342D4"/>
    <w:rsid w:val="00B37EF7"/>
    <w:rsid w:val="00B458A5"/>
    <w:rsid w:val="00B53DBC"/>
    <w:rsid w:val="00B5726D"/>
    <w:rsid w:val="00B71F1A"/>
    <w:rsid w:val="00B836D7"/>
    <w:rsid w:val="00B9561D"/>
    <w:rsid w:val="00BA3D22"/>
    <w:rsid w:val="00BA6294"/>
    <w:rsid w:val="00BA7B37"/>
    <w:rsid w:val="00BB1211"/>
    <w:rsid w:val="00BB2D1D"/>
    <w:rsid w:val="00BC4A36"/>
    <w:rsid w:val="00BD7D11"/>
    <w:rsid w:val="00BE2CC5"/>
    <w:rsid w:val="00BF466A"/>
    <w:rsid w:val="00BF5B69"/>
    <w:rsid w:val="00C03490"/>
    <w:rsid w:val="00C32B27"/>
    <w:rsid w:val="00C47240"/>
    <w:rsid w:val="00C559CF"/>
    <w:rsid w:val="00C57197"/>
    <w:rsid w:val="00C62A4D"/>
    <w:rsid w:val="00C65184"/>
    <w:rsid w:val="00C72353"/>
    <w:rsid w:val="00C73E6E"/>
    <w:rsid w:val="00C74DF3"/>
    <w:rsid w:val="00C76FFB"/>
    <w:rsid w:val="00C82875"/>
    <w:rsid w:val="00C851D2"/>
    <w:rsid w:val="00C85608"/>
    <w:rsid w:val="00C86016"/>
    <w:rsid w:val="00C957C7"/>
    <w:rsid w:val="00C95DA4"/>
    <w:rsid w:val="00CA02A3"/>
    <w:rsid w:val="00CA190E"/>
    <w:rsid w:val="00CA1AA2"/>
    <w:rsid w:val="00CA2125"/>
    <w:rsid w:val="00CB19AE"/>
    <w:rsid w:val="00CF5AA2"/>
    <w:rsid w:val="00CF67D0"/>
    <w:rsid w:val="00CF741C"/>
    <w:rsid w:val="00D135E1"/>
    <w:rsid w:val="00D15F39"/>
    <w:rsid w:val="00D17926"/>
    <w:rsid w:val="00D3457B"/>
    <w:rsid w:val="00D34C65"/>
    <w:rsid w:val="00D40594"/>
    <w:rsid w:val="00D4570B"/>
    <w:rsid w:val="00D54955"/>
    <w:rsid w:val="00D735EB"/>
    <w:rsid w:val="00D77B2E"/>
    <w:rsid w:val="00DA6422"/>
    <w:rsid w:val="00DA68CC"/>
    <w:rsid w:val="00DC4488"/>
    <w:rsid w:val="00DD66DA"/>
    <w:rsid w:val="00DE4D99"/>
    <w:rsid w:val="00DF1688"/>
    <w:rsid w:val="00DF69E2"/>
    <w:rsid w:val="00E01AAF"/>
    <w:rsid w:val="00E22352"/>
    <w:rsid w:val="00E235EA"/>
    <w:rsid w:val="00E40D81"/>
    <w:rsid w:val="00E465B5"/>
    <w:rsid w:val="00E639F8"/>
    <w:rsid w:val="00E90570"/>
    <w:rsid w:val="00E910B0"/>
    <w:rsid w:val="00ED5512"/>
    <w:rsid w:val="00EF180B"/>
    <w:rsid w:val="00F50C47"/>
    <w:rsid w:val="00F61345"/>
    <w:rsid w:val="00F71876"/>
    <w:rsid w:val="00F76A18"/>
    <w:rsid w:val="00FA72F8"/>
    <w:rsid w:val="00FB6794"/>
    <w:rsid w:val="00FC5D63"/>
    <w:rsid w:val="00FD362D"/>
    <w:rsid w:val="00FE7EC6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F184B-A5F3-48F2-9966-6E6FFF08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EE"/>
  </w:style>
  <w:style w:type="paragraph" w:styleId="1">
    <w:name w:val="heading 1"/>
    <w:basedOn w:val="a"/>
    <w:next w:val="a"/>
    <w:link w:val="10"/>
    <w:qFormat/>
    <w:rsid w:val="000C2D9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40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C2D9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6">
    <w:name w:val="Body Text"/>
    <w:basedOn w:val="a"/>
    <w:link w:val="a7"/>
    <w:rsid w:val="000C2D94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C2D94"/>
    <w:rPr>
      <w:rFonts w:ascii="Arial" w:eastAsia="Times New Roman" w:hAnsi="Arial" w:cs="Times New Roman"/>
      <w:sz w:val="24"/>
      <w:szCs w:val="20"/>
    </w:rPr>
  </w:style>
  <w:style w:type="paragraph" w:customStyle="1" w:styleId="a8">
    <w:name w:val="Таблицы (моноширинный)"/>
    <w:basedOn w:val="a"/>
    <w:next w:val="a"/>
    <w:uiPriority w:val="99"/>
    <w:rsid w:val="00060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943ACC"/>
    <w:rPr>
      <w:b/>
      <w:bCs/>
    </w:rPr>
  </w:style>
  <w:style w:type="paragraph" w:styleId="aa">
    <w:name w:val="Normal (Web)"/>
    <w:basedOn w:val="a"/>
    <w:uiPriority w:val="99"/>
    <w:semiHidden/>
    <w:unhideWhenUsed/>
    <w:rsid w:val="0094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F5AA2"/>
    <w:pPr>
      <w:ind w:left="720"/>
      <w:contextualSpacing/>
    </w:pPr>
  </w:style>
  <w:style w:type="paragraph" w:styleId="ac">
    <w:name w:val="No Spacing"/>
    <w:uiPriority w:val="1"/>
    <w:qFormat/>
    <w:rsid w:val="00781E45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996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orceit.ru/support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nforceit.ru/sup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forceit.ru/support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forceit.ru/suppor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asilenko_AN@e-sb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11EE6-2B61-4784-9BFC-2F1A09F6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13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ЧЭСК</Company>
  <LinksUpToDate>false</LinksUpToDate>
  <CharactersWithSpaces>19617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В.  Лесников</dc:creator>
  <cp:lastModifiedBy>Константинова Ксения Александровна</cp:lastModifiedBy>
  <cp:revision>120</cp:revision>
  <cp:lastPrinted>2015-10-20T02:57:00Z</cp:lastPrinted>
  <dcterms:created xsi:type="dcterms:W3CDTF">2017-08-08T07:26:00Z</dcterms:created>
  <dcterms:modified xsi:type="dcterms:W3CDTF">2026-01-30T06:25:00Z</dcterms:modified>
</cp:coreProperties>
</file>